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4D" w:rsidRPr="00CE79C3" w:rsidRDefault="00710A4D" w:rsidP="00710A4D">
      <w:pPr>
        <w:shd w:val="clear" w:color="auto" w:fill="FFFFFF"/>
        <w:spacing w:before="120" w:after="120" w:line="212" w:lineRule="atLeast"/>
        <w:ind w:firstLine="720"/>
        <w:jc w:val="both"/>
        <w:rPr>
          <w:b/>
          <w:bCs/>
          <w:sz w:val="28"/>
          <w:szCs w:val="28"/>
          <w:lang w:val="hr-HR"/>
        </w:rPr>
      </w:pPr>
      <w:r w:rsidRPr="00CE79C3">
        <w:rPr>
          <w:b/>
          <w:bCs/>
          <w:sz w:val="28"/>
          <w:szCs w:val="28"/>
        </w:rPr>
        <w:t>1. C</w:t>
      </w:r>
      <w:r w:rsidRPr="00CE79C3">
        <w:rPr>
          <w:b/>
          <w:sz w:val="28"/>
          <w:szCs w:val="28"/>
        </w:rPr>
        <w:t>ấp bản sao từ sổ gốc</w:t>
      </w:r>
    </w:p>
    <w:p w:rsidR="00710A4D" w:rsidRPr="00CE79C3" w:rsidRDefault="00710A4D" w:rsidP="00710A4D">
      <w:pPr>
        <w:spacing w:after="120"/>
        <w:ind w:firstLine="720"/>
        <w:jc w:val="both"/>
        <w:rPr>
          <w:sz w:val="28"/>
          <w:szCs w:val="28"/>
          <w:lang w:val="es-AR"/>
        </w:rPr>
      </w:pPr>
      <w:r w:rsidRPr="00CE79C3">
        <w:rPr>
          <w:b/>
          <w:bCs/>
          <w:sz w:val="28"/>
          <w:szCs w:val="28"/>
          <w:lang w:val="hr-HR"/>
        </w:rPr>
        <w:t xml:space="preserve">1.1.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269"/>
        <w:gridCol w:w="5421"/>
        <w:gridCol w:w="1950"/>
      </w:tblGrid>
      <w:tr w:rsidR="00710A4D" w:rsidRPr="00CE79C3" w:rsidTr="008837C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710A4D" w:rsidRPr="00CE79C3" w:rsidTr="008837CE">
        <w:trPr>
          <w:trHeight w:val="2539"/>
        </w:trPr>
        <w:tc>
          <w:tcPr>
            <w:tcW w:w="851" w:type="dxa"/>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Nộp hồ sơ thủ tục hành chính:</w:t>
            </w:r>
            <w:r w:rsidRPr="00CE79C3">
              <w:rPr>
                <w:rFonts w:ascii="Times New Roman" w:hAnsi="Times New Roman"/>
                <w:sz w:val="28"/>
                <w:szCs w:val="28"/>
              </w:rPr>
              <w:t>:</w:t>
            </w:r>
          </w:p>
        </w:tc>
        <w:tc>
          <w:tcPr>
            <w:tcW w:w="5421" w:type="dxa"/>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710A4D" w:rsidRPr="00CE79C3" w:rsidRDefault="00710A4D" w:rsidP="008837CE">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950" w:type="dxa"/>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710A4D" w:rsidRPr="00CE79C3" w:rsidRDefault="00710A4D"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710A4D" w:rsidRPr="00CE79C3" w:rsidTr="008837CE">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710A4D" w:rsidRPr="00CE79C3" w:rsidRDefault="00710A4D"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710A4D" w:rsidRPr="00CE79C3" w:rsidRDefault="00710A4D"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10A4D" w:rsidRPr="00CE79C3" w:rsidRDefault="00710A4D"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710A4D" w:rsidRPr="00CE79C3" w:rsidRDefault="00710A4D" w:rsidP="008837CE">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710A4D" w:rsidRPr="00CE79C3" w:rsidTr="008837CE">
        <w:tc>
          <w:tcPr>
            <w:tcW w:w="851" w:type="dxa"/>
            <w:vMerge w:val="restart"/>
            <w:tcBorders>
              <w:top w:val="single" w:sz="4" w:space="0" w:color="auto"/>
              <w:left w:val="single" w:sz="4" w:space="0" w:color="auto"/>
              <w:bottom w:val="nil"/>
              <w:right w:val="single" w:sz="4" w:space="0" w:color="auto"/>
            </w:tcBorders>
            <w:vAlign w:val="center"/>
            <w:hideMark/>
          </w:tcPr>
          <w:p w:rsidR="00710A4D" w:rsidRPr="00CE79C3" w:rsidRDefault="00710A4D"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710A4D" w:rsidRPr="00CE79C3" w:rsidRDefault="00710A4D" w:rsidP="008837CE">
            <w:pPr>
              <w:pStyle w:val="NormalWeb"/>
              <w:spacing w:before="0" w:beforeAutospacing="0" w:after="0" w:afterAutospacing="0"/>
              <w:jc w:val="center"/>
              <w:rPr>
                <w:rFonts w:ascii="Times New Roman" w:hAnsi="Times New Roman"/>
                <w:b/>
                <w:sz w:val="28"/>
                <w:szCs w:val="28"/>
              </w:rPr>
            </w:pPr>
            <w:r w:rsidRPr="00CE79C3">
              <w:rPr>
                <w:rStyle w:val="fontstyle01"/>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710A4D" w:rsidRPr="00CE79C3" w:rsidRDefault="00710A4D" w:rsidP="008837CE">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b/>
                <w:sz w:val="28"/>
                <w:szCs w:val="28"/>
              </w:rPr>
              <w:t xml:space="preserve"> </w:t>
            </w:r>
            <w:r w:rsidRPr="00CE79C3">
              <w:rPr>
                <w:rFonts w:ascii="Times New Roman" w:hAnsi="Times New Roman"/>
                <w:sz w:val="28"/>
                <w:szCs w:val="28"/>
              </w:rPr>
              <w:t>làm việc, trong đó:</w:t>
            </w:r>
          </w:p>
        </w:tc>
      </w:tr>
      <w:tr w:rsidR="00710A4D" w:rsidRPr="00CE79C3" w:rsidTr="008837CE">
        <w:tc>
          <w:tcPr>
            <w:tcW w:w="0" w:type="auto"/>
            <w:vMerge/>
            <w:tcBorders>
              <w:top w:val="single" w:sz="4" w:space="0" w:color="auto"/>
              <w:left w:val="single" w:sz="4" w:space="0" w:color="auto"/>
              <w:bottom w:val="nil"/>
              <w:right w:val="single" w:sz="4" w:space="0" w:color="auto"/>
            </w:tcBorders>
            <w:vAlign w:val="center"/>
            <w:hideMark/>
          </w:tcPr>
          <w:p w:rsidR="00710A4D" w:rsidRPr="00CE79C3" w:rsidRDefault="00710A4D"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710A4D" w:rsidRPr="00CE79C3" w:rsidRDefault="00710A4D"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710A4D" w:rsidRPr="00CE79C3" w:rsidRDefault="00710A4D" w:rsidP="008837CE">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710A4D" w:rsidRPr="00CE79C3" w:rsidTr="008837CE">
        <w:tc>
          <w:tcPr>
            <w:tcW w:w="0" w:type="auto"/>
            <w:vMerge/>
            <w:tcBorders>
              <w:top w:val="single" w:sz="4" w:space="0" w:color="auto"/>
              <w:left w:val="single" w:sz="4" w:space="0" w:color="auto"/>
              <w:bottom w:val="nil"/>
              <w:right w:val="single" w:sz="4" w:space="0" w:color="auto"/>
            </w:tcBorders>
            <w:vAlign w:val="center"/>
            <w:hideMark/>
          </w:tcPr>
          <w:p w:rsidR="00710A4D" w:rsidRPr="00CE79C3" w:rsidRDefault="00710A4D"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710A4D" w:rsidRPr="00CE79C3" w:rsidRDefault="00710A4D"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710A4D" w:rsidRPr="00CE79C3" w:rsidRDefault="00710A4D" w:rsidP="008837CE">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07 giờ</w:t>
            </w:r>
          </w:p>
        </w:tc>
      </w:tr>
      <w:tr w:rsidR="00710A4D" w:rsidRPr="00CE79C3" w:rsidTr="008837CE">
        <w:trPr>
          <w:trHeight w:val="764"/>
        </w:trPr>
        <w:tc>
          <w:tcPr>
            <w:tcW w:w="0" w:type="auto"/>
            <w:vMerge/>
            <w:tcBorders>
              <w:top w:val="single" w:sz="4" w:space="0" w:color="auto"/>
              <w:left w:val="single" w:sz="4" w:space="0" w:color="auto"/>
              <w:bottom w:val="nil"/>
              <w:right w:val="single" w:sz="4" w:space="0" w:color="auto"/>
            </w:tcBorders>
            <w:vAlign w:val="center"/>
            <w:hideMark/>
          </w:tcPr>
          <w:p w:rsidR="00710A4D" w:rsidRPr="00CE79C3" w:rsidRDefault="00710A4D"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710A4D" w:rsidRPr="00CE79C3" w:rsidRDefault="00710A4D" w:rsidP="008837CE">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710A4D" w:rsidRPr="00CE79C3" w:rsidRDefault="00710A4D" w:rsidP="008837CE">
            <w:pPr>
              <w:rPr>
                <w:b/>
                <w:sz w:val="28"/>
                <w:szCs w:val="28"/>
              </w:rPr>
            </w:pPr>
            <w:r w:rsidRPr="00CE79C3">
              <w:rPr>
                <w:bCs/>
                <w:sz w:val="28"/>
                <w:szCs w:val="28"/>
              </w:rPr>
              <w:t>+ Chuyên viên</w:t>
            </w:r>
          </w:p>
        </w:tc>
        <w:tc>
          <w:tcPr>
            <w:tcW w:w="1950" w:type="dxa"/>
            <w:tcBorders>
              <w:top w:val="single" w:sz="4" w:space="0" w:color="auto"/>
              <w:left w:val="single" w:sz="4" w:space="0" w:color="auto"/>
              <w:bottom w:val="nil"/>
              <w:right w:val="single" w:sz="4" w:space="0" w:color="auto"/>
            </w:tcBorders>
            <w:vAlign w:val="center"/>
            <w:hideMark/>
          </w:tcPr>
          <w:p w:rsidR="00710A4D" w:rsidRPr="00CE79C3" w:rsidRDefault="00710A4D" w:rsidP="008837CE">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04 giờ</w:t>
            </w:r>
          </w:p>
        </w:tc>
      </w:tr>
      <w:tr w:rsidR="00710A4D" w:rsidRPr="00CE79C3" w:rsidTr="008837CE">
        <w:trPr>
          <w:trHeight w:val="764"/>
        </w:trPr>
        <w:tc>
          <w:tcPr>
            <w:tcW w:w="851" w:type="dxa"/>
            <w:tcBorders>
              <w:top w:val="single" w:sz="4" w:space="0" w:color="auto"/>
              <w:left w:val="single" w:sz="4" w:space="0" w:color="auto"/>
              <w:bottom w:val="nil"/>
              <w:right w:val="single" w:sz="4" w:space="0" w:color="auto"/>
            </w:tcBorders>
          </w:tcPr>
          <w:p w:rsidR="00710A4D" w:rsidRPr="00CE79C3" w:rsidRDefault="00710A4D" w:rsidP="008837CE">
            <w:pPr>
              <w:pStyle w:val="NormalWeb"/>
              <w:spacing w:before="0" w:beforeAutospacing="0" w:after="0" w:afterAutospacing="0"/>
              <w:jc w:val="both"/>
              <w:rPr>
                <w:rFonts w:ascii="Times New Roman" w:hAnsi="Times New Roman"/>
                <w:b/>
                <w:sz w:val="28"/>
                <w:szCs w:val="28"/>
              </w:rPr>
            </w:pPr>
          </w:p>
        </w:tc>
        <w:tc>
          <w:tcPr>
            <w:tcW w:w="2269" w:type="dxa"/>
            <w:tcBorders>
              <w:top w:val="single" w:sz="4" w:space="0" w:color="auto"/>
              <w:left w:val="single" w:sz="4" w:space="0" w:color="auto"/>
              <w:bottom w:val="nil"/>
              <w:right w:val="single" w:sz="4" w:space="0" w:color="auto"/>
            </w:tcBorders>
          </w:tcPr>
          <w:p w:rsidR="00710A4D" w:rsidRPr="00CE79C3" w:rsidRDefault="00710A4D" w:rsidP="008837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710A4D" w:rsidRPr="00CE79C3" w:rsidRDefault="00710A4D" w:rsidP="008837CE">
            <w:pPr>
              <w:rPr>
                <w:bCs/>
                <w:sz w:val="28"/>
                <w:szCs w:val="28"/>
              </w:rPr>
            </w:pPr>
            <w:r w:rsidRPr="00CE79C3">
              <w:rPr>
                <w:bCs/>
                <w:sz w:val="28"/>
                <w:szCs w:val="28"/>
              </w:rPr>
              <w:t>+ Lãnh đạo phòng Tư pháp</w:t>
            </w:r>
          </w:p>
        </w:tc>
        <w:tc>
          <w:tcPr>
            <w:tcW w:w="1950" w:type="dxa"/>
            <w:tcBorders>
              <w:top w:val="nil"/>
              <w:left w:val="single" w:sz="4" w:space="0" w:color="auto"/>
              <w:bottom w:val="nil"/>
              <w:right w:val="single" w:sz="4" w:space="0" w:color="auto"/>
            </w:tcBorders>
            <w:vAlign w:val="center"/>
            <w:hideMark/>
          </w:tcPr>
          <w:p w:rsidR="00710A4D" w:rsidRPr="00CE79C3" w:rsidRDefault="00710A4D" w:rsidP="008837CE">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02 giờ</w:t>
            </w:r>
          </w:p>
        </w:tc>
      </w:tr>
      <w:tr w:rsidR="00710A4D" w:rsidRPr="00CE79C3" w:rsidTr="008837CE">
        <w:trPr>
          <w:trHeight w:val="700"/>
        </w:trPr>
        <w:tc>
          <w:tcPr>
            <w:tcW w:w="851" w:type="dxa"/>
            <w:tcBorders>
              <w:top w:val="nil"/>
              <w:left w:val="single" w:sz="4" w:space="0" w:color="auto"/>
              <w:bottom w:val="single" w:sz="4" w:space="0" w:color="auto"/>
              <w:right w:val="single" w:sz="4" w:space="0" w:color="auto"/>
            </w:tcBorders>
          </w:tcPr>
          <w:p w:rsidR="00710A4D" w:rsidRPr="00CE79C3" w:rsidRDefault="00710A4D"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single" w:sz="4" w:space="0" w:color="auto"/>
              <w:right w:val="single" w:sz="4" w:space="0" w:color="auto"/>
            </w:tcBorders>
          </w:tcPr>
          <w:p w:rsidR="00710A4D" w:rsidRPr="00CE79C3" w:rsidRDefault="00710A4D" w:rsidP="008837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710A4D" w:rsidRPr="00CE79C3" w:rsidRDefault="00710A4D" w:rsidP="008837CE">
            <w:pPr>
              <w:jc w:val="both"/>
              <w:rPr>
                <w:sz w:val="28"/>
                <w:szCs w:val="28"/>
              </w:rPr>
            </w:pPr>
            <w:r w:rsidRPr="00CE79C3">
              <w:rPr>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710A4D" w:rsidRPr="00CE79C3" w:rsidRDefault="00710A4D"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710A4D" w:rsidRPr="00CE79C3" w:rsidTr="008837CE">
        <w:trPr>
          <w:trHeight w:val="5566"/>
        </w:trPr>
        <w:tc>
          <w:tcPr>
            <w:tcW w:w="851" w:type="dxa"/>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710A4D" w:rsidRPr="00CE79C3" w:rsidRDefault="00710A4D" w:rsidP="008837CE">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710A4D" w:rsidRPr="00CE79C3" w:rsidRDefault="00710A4D" w:rsidP="008837CE">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710A4D" w:rsidRPr="00CE79C3" w:rsidRDefault="00710A4D" w:rsidP="008837CE">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710A4D" w:rsidRPr="00CE79C3" w:rsidRDefault="00710A4D" w:rsidP="008837CE">
            <w:pPr>
              <w:jc w:val="both"/>
              <w:rPr>
                <w:iCs/>
                <w:sz w:val="28"/>
                <w:szCs w:val="28"/>
                <w:lang w:val="nl-NL"/>
              </w:rPr>
            </w:pPr>
            <w:r w:rsidRPr="00CE79C3">
              <w:rPr>
                <w:iCs/>
                <w:sz w:val="28"/>
                <w:szCs w:val="28"/>
                <w:lang w:val="nl-NL"/>
              </w:rPr>
              <w:t>- T</w:t>
            </w:r>
            <w:r w:rsidRPr="00CE79C3">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710A4D" w:rsidRPr="00CE79C3" w:rsidRDefault="00710A4D" w:rsidP="008837CE">
            <w:pPr>
              <w:jc w:val="both"/>
              <w:rPr>
                <w:iCs/>
                <w:sz w:val="28"/>
                <w:szCs w:val="28"/>
                <w:lang w:val="nl-NL"/>
              </w:rPr>
            </w:pPr>
            <w:r w:rsidRPr="00CE79C3">
              <w:rPr>
                <w:iCs/>
                <w:sz w:val="28"/>
                <w:szCs w:val="28"/>
                <w:lang w:val="nl-NL"/>
              </w:rPr>
              <w:t xml:space="preserve">- </w:t>
            </w:r>
            <w:r w:rsidRPr="00CE79C3">
              <w:rPr>
                <w:rStyle w:val="fontstyle21"/>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710A4D" w:rsidRPr="00CE79C3" w:rsidRDefault="00710A4D" w:rsidP="008837CE">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710A4D" w:rsidRPr="00CE79C3" w:rsidRDefault="00710A4D"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710A4D" w:rsidRPr="00CE79C3" w:rsidRDefault="00710A4D" w:rsidP="00710A4D">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1.2. Thành phần, số lượng hồ sơ </w:t>
      </w:r>
    </w:p>
    <w:p w:rsidR="00710A4D" w:rsidRPr="00CE79C3" w:rsidRDefault="00710A4D" w:rsidP="00710A4D">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710A4D" w:rsidRPr="00CE79C3" w:rsidRDefault="00710A4D" w:rsidP="00710A4D">
      <w:pPr>
        <w:spacing w:before="120"/>
        <w:ind w:firstLine="720"/>
        <w:jc w:val="both"/>
        <w:rPr>
          <w:sz w:val="28"/>
          <w:szCs w:val="28"/>
        </w:rPr>
      </w:pPr>
      <w:r w:rsidRPr="00CE79C3">
        <w:rPr>
          <w:sz w:val="28"/>
          <w:szCs w:val="28"/>
        </w:rPr>
        <w:t>- Trường hợp nộp trực tiếp thì xuất trình bản chính hoặc bản sao có chứng thực giấy chứng minh nhân dân hoặc hộ chiếu còn giá trị sử dụng.</w:t>
      </w:r>
    </w:p>
    <w:p w:rsidR="00710A4D" w:rsidRPr="00CE79C3" w:rsidRDefault="00710A4D" w:rsidP="00710A4D">
      <w:pPr>
        <w:spacing w:before="120"/>
        <w:ind w:firstLine="720"/>
        <w:jc w:val="both"/>
        <w:rPr>
          <w:sz w:val="28"/>
          <w:szCs w:val="28"/>
        </w:rPr>
      </w:pPr>
      <w:r w:rsidRPr="00CE79C3">
        <w:rPr>
          <w:sz w:val="28"/>
          <w:szCs w:val="28"/>
        </w:rPr>
        <w:t>- 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p>
    <w:p w:rsidR="00710A4D" w:rsidRPr="00CE79C3" w:rsidRDefault="00710A4D" w:rsidP="00710A4D">
      <w:pPr>
        <w:spacing w:before="120"/>
        <w:ind w:firstLine="720"/>
        <w:jc w:val="both"/>
        <w:rPr>
          <w:sz w:val="28"/>
          <w:szCs w:val="28"/>
        </w:rPr>
      </w:pPr>
      <w:r w:rsidRPr="00CE79C3">
        <w:rPr>
          <w:sz w:val="28"/>
          <w:szCs w:val="28"/>
        </w:rPr>
        <w:t>-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p w:rsidR="00710A4D" w:rsidRPr="00CE79C3" w:rsidRDefault="00710A4D" w:rsidP="00710A4D">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lastRenderedPageBreak/>
        <w:t>b) Số lượng hồ sơ: 01 bộ</w:t>
      </w:r>
    </w:p>
    <w:p w:rsidR="00710A4D" w:rsidRPr="00CE79C3" w:rsidRDefault="00710A4D" w:rsidP="00710A4D">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1.3. Đối tượng thực hiện thủ tục hành chính: </w:t>
      </w:r>
      <w:r w:rsidRPr="00CE79C3">
        <w:rPr>
          <w:rFonts w:ascii="Times New Roman" w:hAnsi="Times New Roman"/>
          <w:sz w:val="28"/>
          <w:szCs w:val="28"/>
        </w:rPr>
        <w:t>Cá nhân, tổ chức</w:t>
      </w:r>
      <w:r w:rsidRPr="00CE79C3">
        <w:rPr>
          <w:rFonts w:ascii="Times New Roman" w:hAnsi="Times New Roman"/>
          <w:b/>
          <w:bCs/>
          <w:sz w:val="28"/>
          <w:szCs w:val="28"/>
        </w:rPr>
        <w:t xml:space="preserve"> </w:t>
      </w:r>
    </w:p>
    <w:p w:rsidR="00710A4D" w:rsidRPr="00CE79C3" w:rsidRDefault="00710A4D" w:rsidP="00710A4D">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1.4. Cơ quan giải quyết thủ tục hành chính: </w:t>
      </w:r>
      <w:r w:rsidRPr="00CE79C3">
        <w:rPr>
          <w:rFonts w:ascii="Times New Roman" w:hAnsi="Times New Roman"/>
          <w:spacing w:val="-2"/>
          <w:sz w:val="28"/>
          <w:szCs w:val="28"/>
        </w:rPr>
        <w:t>Cơ quan, tổ chức lập sổ gốc</w:t>
      </w:r>
      <w:r w:rsidRPr="00CE79C3">
        <w:rPr>
          <w:rFonts w:ascii="Times New Roman" w:hAnsi="Times New Roman"/>
          <w:sz w:val="28"/>
          <w:szCs w:val="28"/>
        </w:rPr>
        <w:t>.</w:t>
      </w:r>
    </w:p>
    <w:p w:rsidR="00710A4D" w:rsidRPr="00CE79C3" w:rsidRDefault="00710A4D" w:rsidP="00710A4D">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1.5. Kết quả thực hiện thủ tục hành chính: </w:t>
      </w:r>
      <w:r w:rsidRPr="00CE79C3">
        <w:rPr>
          <w:rFonts w:ascii="Times New Roman" w:hAnsi="Times New Roman"/>
          <w:sz w:val="28"/>
          <w:szCs w:val="28"/>
        </w:rPr>
        <w:t>Bản sao được cấp từ sổ gốc</w:t>
      </w:r>
    </w:p>
    <w:p w:rsidR="00710A4D" w:rsidRPr="00CE79C3" w:rsidRDefault="00710A4D" w:rsidP="00710A4D">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1.6. Phí, lệ phí:</w:t>
      </w:r>
      <w:r w:rsidRPr="00CE79C3">
        <w:rPr>
          <w:rFonts w:ascii="Times New Roman" w:hAnsi="Times New Roman"/>
          <w:sz w:val="28"/>
          <w:szCs w:val="28"/>
        </w:rPr>
        <w:t> Không quy định.</w:t>
      </w:r>
    </w:p>
    <w:p w:rsidR="00710A4D" w:rsidRPr="00CE79C3" w:rsidRDefault="00710A4D" w:rsidP="00710A4D">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1.7. Tên mẫu đơn, mẫu tờ khai: </w:t>
      </w:r>
      <w:r w:rsidRPr="00CE79C3">
        <w:rPr>
          <w:rFonts w:ascii="Times New Roman" w:hAnsi="Times New Roman"/>
          <w:sz w:val="28"/>
          <w:szCs w:val="28"/>
        </w:rPr>
        <w:t>Không quy định.</w:t>
      </w:r>
    </w:p>
    <w:p w:rsidR="00710A4D" w:rsidRPr="00CE79C3" w:rsidRDefault="00710A4D" w:rsidP="00710A4D">
      <w:pPr>
        <w:pStyle w:val="NormalWeb"/>
        <w:shd w:val="clear" w:color="auto" w:fill="FFFFFF"/>
        <w:spacing w:before="120" w:beforeAutospacing="0" w:after="0" w:afterAutospacing="0"/>
        <w:ind w:firstLine="720"/>
        <w:jc w:val="both"/>
        <w:rPr>
          <w:rFonts w:ascii="Times New Roman" w:hAnsi="Times New Roman"/>
          <w:bCs/>
          <w:sz w:val="28"/>
          <w:szCs w:val="28"/>
          <w:lang w:val="hr-HR"/>
        </w:rPr>
      </w:pPr>
      <w:r w:rsidRPr="00CE79C3">
        <w:rPr>
          <w:rFonts w:ascii="Times New Roman" w:hAnsi="Times New Roman"/>
          <w:b/>
          <w:bCs/>
          <w:sz w:val="28"/>
          <w:szCs w:val="28"/>
          <w:lang w:val="hr-HR"/>
        </w:rPr>
        <w:t xml:space="preserve">1.8. Yêu cầu, điều kiện thực hiện thủ tục hành chính: </w:t>
      </w:r>
      <w:r w:rsidRPr="00CE79C3">
        <w:rPr>
          <w:rFonts w:ascii="Times New Roman" w:hAnsi="Times New Roman"/>
          <w:sz w:val="28"/>
          <w:szCs w:val="28"/>
        </w:rPr>
        <w:t>Phải có sổ gốc</w:t>
      </w:r>
    </w:p>
    <w:p w:rsidR="00710A4D" w:rsidRPr="00CE79C3" w:rsidRDefault="00710A4D" w:rsidP="00710A4D">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1.9. Căn cứ pháp lý của thủ tục hành chính </w:t>
      </w:r>
    </w:p>
    <w:p w:rsidR="00710A4D" w:rsidRPr="00CE79C3" w:rsidRDefault="00710A4D" w:rsidP="00710A4D">
      <w:pPr>
        <w:spacing w:before="120"/>
        <w:ind w:firstLine="720"/>
        <w:jc w:val="both"/>
        <w:rPr>
          <w:sz w:val="28"/>
          <w:szCs w:val="28"/>
        </w:rPr>
      </w:pPr>
      <w:r w:rsidRPr="00CE79C3">
        <w:rPr>
          <w:sz w:val="28"/>
          <w:szCs w:val="28"/>
        </w:rPr>
        <w:t>Điều 5, 7, 16, 17 Nghị định số 23/2015/NĐ-CP ngày 16/02/2015 của Chính phủ về cấp bản sao từ bản chính, chứng thực chữ ký và chứng thực hợp đồng, giao dịch.</w:t>
      </w:r>
    </w:p>
    <w:p w:rsidR="00710A4D" w:rsidRPr="00CE79C3" w:rsidRDefault="00710A4D" w:rsidP="00710A4D">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1.10.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710A4D"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spacing w:before="40" w:after="40"/>
              <w:jc w:val="center"/>
              <w:rPr>
                <w:sz w:val="28"/>
                <w:szCs w:val="28"/>
                <w:lang w:val="nl-NL"/>
              </w:rPr>
            </w:pPr>
            <w:r w:rsidRPr="00CE79C3">
              <w:rPr>
                <w:b/>
                <w:bCs/>
                <w:sz w:val="28"/>
                <w:szCs w:val="28"/>
                <w:lang w:val="nl-NL"/>
              </w:rPr>
              <w:t>Thời gian lưu</w:t>
            </w:r>
          </w:p>
        </w:tc>
      </w:tr>
      <w:tr w:rsidR="00710A4D"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spacing w:before="40" w:after="40"/>
              <w:rPr>
                <w:sz w:val="28"/>
                <w:szCs w:val="28"/>
                <w:lang w:val="nl-NL"/>
              </w:rPr>
            </w:pPr>
            <w:r w:rsidRPr="00CE79C3">
              <w:rPr>
                <w:sz w:val="28"/>
                <w:szCs w:val="28"/>
                <w:lang w:val="nl-NL"/>
              </w:rPr>
              <w:t>- Như mục 1.2;</w:t>
            </w:r>
          </w:p>
          <w:p w:rsidR="00710A4D" w:rsidRPr="00CE79C3" w:rsidRDefault="00710A4D" w:rsidP="008837CE">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710A4D" w:rsidRPr="00CE79C3" w:rsidRDefault="00710A4D" w:rsidP="008837CE">
            <w:pPr>
              <w:spacing w:before="40" w:after="40"/>
              <w:rPr>
                <w:sz w:val="28"/>
                <w:szCs w:val="28"/>
                <w:lang w:val="nl-NL"/>
              </w:rPr>
            </w:pPr>
            <w:r w:rsidRPr="00CE79C3">
              <w:rPr>
                <w:sz w:val="28"/>
                <w:szCs w:val="28"/>
                <w:lang w:val="nl-NL"/>
              </w:rPr>
              <w:t>- Hồ sơ thẩm định (nếu có)</w:t>
            </w:r>
          </w:p>
          <w:p w:rsidR="00710A4D" w:rsidRPr="00CE79C3" w:rsidRDefault="00710A4D" w:rsidP="008837CE">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spacing w:before="40" w:after="40"/>
              <w:jc w:val="center"/>
              <w:rPr>
                <w:b/>
                <w:sz w:val="28"/>
                <w:szCs w:val="28"/>
                <w:lang w:val="nl-NL"/>
              </w:rPr>
            </w:pPr>
            <w:r>
              <w:rPr>
                <w:sz w:val="28"/>
                <w:szCs w:val="28"/>
              </w:rPr>
              <w:t xml:space="preserve">Công chức </w:t>
            </w:r>
            <w:r w:rsidRPr="00CE79C3">
              <w:rPr>
                <w:sz w:val="28"/>
                <w:szCs w:val="28"/>
              </w:rPr>
              <w:t>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710A4D"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Pr>
              <w:t>về thực hiện cơ chế một cửa, một cửa liên thông</w:t>
            </w:r>
            <w:r w:rsidRPr="00CE79C3">
              <w:rPr>
                <w:rFonts w:ascii="Times New Roman" w:hAnsi="Times New Roman"/>
                <w:b/>
                <w:bCs/>
                <w:sz w:val="28"/>
                <w:szCs w:val="28"/>
              </w:rPr>
              <w:t xml:space="preserve"> </w:t>
            </w:r>
            <w:r w:rsidRPr="00CE79C3">
              <w:rPr>
                <w:rStyle w:val="fontstyle01"/>
              </w:rPr>
              <w:t>trong giải quyết thủ tục hành chính</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4D" w:rsidRPr="00CE79C3" w:rsidRDefault="00710A4D" w:rsidP="008837CE">
            <w:pPr>
              <w:rPr>
                <w:sz w:val="28"/>
                <w:szCs w:val="28"/>
                <w:lang w:val="nl-NL"/>
              </w:rPr>
            </w:pPr>
          </w:p>
        </w:tc>
      </w:tr>
    </w:tbl>
    <w:p w:rsidR="00710A4D" w:rsidRPr="00CE79C3" w:rsidRDefault="00710A4D" w:rsidP="00710A4D">
      <w:pPr>
        <w:pStyle w:val="BodyTextIndent2"/>
        <w:spacing w:line="280" w:lineRule="exact"/>
        <w:rPr>
          <w:sz w:val="24"/>
          <w:szCs w:val="24"/>
          <w:lang w:val="nl-NL"/>
        </w:rPr>
      </w:pPr>
    </w:p>
    <w:p w:rsidR="00710A4D" w:rsidRPr="00CE79C3" w:rsidRDefault="00710A4D" w:rsidP="00710A4D">
      <w:pPr>
        <w:pStyle w:val="BodyTextIndent2"/>
        <w:spacing w:line="280" w:lineRule="exact"/>
        <w:rPr>
          <w:sz w:val="24"/>
          <w:szCs w:val="24"/>
          <w:lang w:val="nl-NL"/>
        </w:rPr>
      </w:pPr>
    </w:p>
    <w:p w:rsidR="00710A4D" w:rsidRPr="00CE79C3" w:rsidRDefault="00710A4D" w:rsidP="00710A4D">
      <w:pPr>
        <w:pStyle w:val="BodyTextIndent2"/>
        <w:spacing w:line="280" w:lineRule="exact"/>
        <w:rPr>
          <w:sz w:val="24"/>
          <w:szCs w:val="24"/>
          <w:lang w:val="nl-NL"/>
        </w:rPr>
      </w:pPr>
    </w:p>
    <w:p w:rsidR="00A451C5" w:rsidRPr="00710A4D" w:rsidRDefault="00A451C5" w:rsidP="00710A4D">
      <w:bookmarkStart w:id="0" w:name="_GoBack"/>
      <w:bookmarkEnd w:id="0"/>
    </w:p>
    <w:sectPr w:rsidR="00A451C5" w:rsidRPr="00710A4D"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20353C"/>
    <w:rsid w:val="002430FA"/>
    <w:rsid w:val="002F7427"/>
    <w:rsid w:val="00710A4D"/>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2019-10-10T07:32:00Z</dcterms:created>
  <dcterms:modified xsi:type="dcterms:W3CDTF">2019-10-10T07:32:00Z</dcterms:modified>
</cp:coreProperties>
</file>